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AF74" w14:textId="2C9FA13E" w:rsidR="00116A08" w:rsidRPr="00116A08" w:rsidRDefault="00116A08" w:rsidP="00116A08">
      <w:pPr>
        <w:pStyle w:val="Heading6"/>
        <w:spacing w:before="240" w:beforeAutospacing="0" w:after="240" w:afterAutospacing="0"/>
        <w:ind w:firstLine="709"/>
        <w:jc w:val="center"/>
        <w:rPr>
          <w:bCs w:val="0"/>
          <w:sz w:val="28"/>
          <w:szCs w:val="28"/>
          <w:lang w:val="en-US"/>
        </w:rPr>
      </w:pPr>
      <w:bookmarkStart w:id="0" w:name="_GoBack"/>
      <w:bookmarkEnd w:id="0"/>
      <w:r w:rsidRPr="00116A08">
        <w:rPr>
          <w:bCs w:val="0"/>
          <w:sz w:val="28"/>
          <w:szCs w:val="28"/>
          <w:lang w:val="en-US"/>
        </w:rPr>
        <w:t>KẾT QUẢ KHẢO SÁT</w:t>
      </w:r>
    </w:p>
    <w:p w14:paraId="0CAFAD31" w14:textId="77777777" w:rsidR="00116A08" w:rsidRPr="002E0047" w:rsidRDefault="00116A08" w:rsidP="00116A08">
      <w:pPr>
        <w:spacing w:before="12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Căn cứ thông tin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thu thập từ phiếu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khảo sát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Sở đã 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>tiến hành tổng hợp, phân tích các dữ liệu thống kê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trên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phần mềm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thống kê SPSS, với những kết quả cụ thể đối với những nội dung khảo sát như sau: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4A93DF2E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1.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Ô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n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g/Bà biết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đến Sở Kế hoạch và Đầu tư là cơ quan thực hiện thủ tục hành chính thành lập và hoạt động doanh nghiệp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qua hình thức nào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?”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, 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25E5D243" w14:textId="77777777" w:rsidR="00116A08" w:rsidRPr="002E0047" w:rsidRDefault="00116A08" w:rsidP="00116A08">
      <w:pPr>
        <w:tabs>
          <w:tab w:val="center" w:pos="4535"/>
        </w:tabs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drawing>
          <wp:inline distT="0" distB="0" distL="0" distR="0" wp14:anchorId="307EAC3C" wp14:editId="06A2488D">
            <wp:extent cx="5328000" cy="2169774"/>
            <wp:effectExtent l="0" t="0" r="6350" b="254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C0130D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Ô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n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g/Bà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lấy biểu mẫu để thực hiện thủ tục hành chính từ đâu?”</w:t>
      </w:r>
      <w:r w:rsidRPr="002E004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,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6FA7DB32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drawing>
          <wp:inline distT="0" distB="0" distL="0" distR="0" wp14:anchorId="1AC5F908" wp14:editId="37EF5709">
            <wp:extent cx="4448593" cy="21600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910893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3.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Ô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n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g/Bà đi lại bao nhiêu lần trong quá trình giải quyết công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việc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 tính từ lần đầu tiên đến nộp hồ sơ?”</w:t>
      </w:r>
      <w:proofErr w:type="gramStart"/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,  kê</w:t>
      </w:r>
      <w:proofErr w:type="gramEnd"/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7802A92B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73EAD7C5" wp14:editId="1364A92A">
            <wp:extent cx="4870008" cy="2160000"/>
            <wp:effectExtent l="0" t="0" r="6985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20D88D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4.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Công chức có gây phiền hà, sách nhiễu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hoặc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gợi ý nộp thêm tiền ngoài phí/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l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ệ phí đối với Ông/Bà trong quá trình giải quyết công việc không?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”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, 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1C204B81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drawing>
          <wp:inline distT="0" distB="0" distL="0" distR="0" wp14:anchorId="17BA68D5" wp14:editId="65546C2C">
            <wp:extent cx="4380918" cy="2160000"/>
            <wp:effectExtent l="0" t="0" r="635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FD42C5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5.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Xin Ông/Bà vui lòng cho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biết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mức độ hài lòng của Ông/Bà về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t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hủ tục hành chính được niêm yết công khai đầy đủ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”,</w:t>
      </w:r>
      <w:r w:rsidRPr="002E004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17F74E2B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72C6C80C" wp14:editId="4EF55C0F">
            <wp:extent cx="4171035" cy="2160000"/>
            <wp:effectExtent l="0" t="0" r="127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7E8FDB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6.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Đối với câu hỏi 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Xin Ông/Bà vui lòng cho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biết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mức độ hài lòng của Ông/Bà về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c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ông chức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tiếp nhận hồ sơ và trả kết quả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có thái độ giao tiếp lịch sự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”,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63617BEE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drawing>
          <wp:inline distT="0" distB="0" distL="0" distR="0" wp14:anchorId="35D99446" wp14:editId="771A1FB0">
            <wp:extent cx="3785074" cy="2160000"/>
            <wp:effectExtent l="0" t="0" r="635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DC3C38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E004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7.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“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Xin Ông/Bà vui lòng cho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biết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mức độ hài lòng của Ông/Bà về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c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ông chức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 xml:space="preserve">tiếp nhận hồ sơ và trả kết quả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hướng dẫn kê khai hồ sơ tận tình, chu đáo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  <w:lang w:val="en-US"/>
        </w:rPr>
        <w:t>”,</w:t>
      </w:r>
      <w:r w:rsidRPr="002E0047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74FEF340" w14:textId="77777777" w:rsidR="00116A08" w:rsidRPr="002E0047" w:rsidRDefault="00116A08" w:rsidP="00116A08">
      <w:pPr>
        <w:spacing w:before="240" w:after="24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  <w:r w:rsidRPr="002E0047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lastRenderedPageBreak/>
        <w:drawing>
          <wp:inline distT="0" distB="0" distL="0" distR="0" wp14:anchorId="403E901C" wp14:editId="3B2B4EAD">
            <wp:extent cx="4756076" cy="2160000"/>
            <wp:effectExtent l="0" t="0" r="6985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C6E651" w14:textId="77777777" w:rsidR="00116A08" w:rsidRPr="002E0047" w:rsidRDefault="00116A08" w:rsidP="00116A08">
      <w:pPr>
        <w:spacing w:before="240" w:after="240"/>
        <w:ind w:firstLine="709"/>
        <w:jc w:val="both"/>
        <w:rPr>
          <w:rFonts w:ascii="Times New Roman Bold" w:hAnsi="Times New Roman Bold" w:cs="Times New Roman"/>
          <w:color w:val="auto"/>
          <w:sz w:val="28"/>
          <w:szCs w:val="28"/>
          <w:lang w:val="en-US"/>
        </w:rPr>
      </w:pPr>
      <w:r w:rsidRPr="007C6E3C">
        <w:rPr>
          <w:rFonts w:ascii="Times New Roman" w:hAnsi="Times New Roman" w:cs="Times New Roman"/>
          <w:b/>
          <w:sz w:val="28"/>
          <w:szCs w:val="28"/>
        </w:rPr>
        <w:t>8.</w:t>
      </w:r>
      <w:r w:rsidRPr="002E0047">
        <w:rPr>
          <w:rFonts w:ascii="Times New Roman" w:hAnsi="Times New Roman" w:cs="Times New Roman"/>
          <w:sz w:val="28"/>
          <w:szCs w:val="28"/>
        </w:rPr>
        <w:t xml:space="preserve"> Đối với câu hỏi </w:t>
      </w:r>
      <w:r w:rsidRPr="002E0047">
        <w:rPr>
          <w:rFonts w:ascii="Times New Roman" w:hAnsi="Times New Roman" w:cs="Times New Roman"/>
          <w:i/>
          <w:color w:val="0000FF"/>
          <w:sz w:val="28"/>
          <w:szCs w:val="28"/>
        </w:rPr>
        <w:t>“Để nâng cao chất lượng phục vụ trong thời gian tới, theo Ông/Bà Sở Kế hoạch và Đầu tư cần phải quan tâm đến nội dung nào?”,</w:t>
      </w:r>
      <w:r w:rsidRPr="002E0047">
        <w:rPr>
          <w:rFonts w:ascii="Times New Roman Bold" w:hAnsi="Times New Roman Bold" w:cs="Times New Roman"/>
          <w:b/>
          <w:color w:val="0000FF"/>
          <w:sz w:val="28"/>
          <w:szCs w:val="28"/>
          <w:lang w:val="en-US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kết quả khảo sát</w:t>
      </w:r>
      <w:r w:rsidRPr="002E0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047">
        <w:rPr>
          <w:rFonts w:ascii="Times New Roman" w:hAnsi="Times New Roman" w:cs="Times New Roman"/>
          <w:color w:val="auto"/>
          <w:sz w:val="28"/>
          <w:szCs w:val="28"/>
          <w:lang w:val="en-US"/>
        </w:rPr>
        <w:t>cụ thể như sau:</w:t>
      </w:r>
    </w:p>
    <w:p w14:paraId="2819BFF5" w14:textId="4308E9E5" w:rsidR="00116A08" w:rsidRDefault="00116A08" w:rsidP="00116A08">
      <w:pPr>
        <w:jc w:val="center"/>
      </w:pPr>
      <w:r w:rsidRPr="002E0047">
        <w:rPr>
          <w:rFonts w:ascii="Times New Roman" w:hAnsi="Times New Roman" w:cs="Times New Roman"/>
          <w:noProof/>
          <w:color w:val="auto"/>
          <w:sz w:val="20"/>
          <w:szCs w:val="20"/>
          <w:lang w:val="en-US" w:eastAsia="en-US"/>
        </w:rPr>
        <w:drawing>
          <wp:inline distT="0" distB="0" distL="0" distR="0" wp14:anchorId="4801D414" wp14:editId="0931CD99">
            <wp:extent cx="5251450" cy="2762250"/>
            <wp:effectExtent l="0" t="0" r="25400" b="1905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11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08"/>
    <w:rsid w:val="00116A08"/>
    <w:rsid w:val="00A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link w:val="Heading6Char"/>
    <w:qFormat/>
    <w:rsid w:val="00116A08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6A08"/>
    <w:rPr>
      <w:rFonts w:ascii="Times New Roman" w:eastAsia="Times New Roman" w:hAnsi="Times New Roman" w:cs="Times New Roman"/>
      <w:b/>
      <w:bCs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2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link w:val="Heading6Char"/>
    <w:qFormat/>
    <w:rsid w:val="00116A08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6A08"/>
    <w:rPr>
      <w:rFonts w:ascii="Times New Roman" w:eastAsia="Times New Roman" w:hAnsi="Times New Roman" w:cs="Times New Roman"/>
      <w:b/>
      <w:bCs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12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Qua hỏi người thân, bạn bè: 34,5%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DBC-4D0D-85F0-D92510D1E9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Qua chính quyền: 12,25%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DBC-4D0D-85F0-D92510D1E9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Qua phương tiện thông tin đại chúng: 25,25%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DBC-4D0D-85F0-D92510D1E9A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Qua mạng Internet: 24%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DBC-4D0D-85F0-D92510D1E9A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Qua hình thức khác: 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DBC-4D0D-85F0-D92510D1E9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Qua hỏi người thân, bạn bè</c:v>
                </c:pt>
                <c:pt idx="1">
                  <c:v>Qua chính quyền</c:v>
                </c:pt>
                <c:pt idx="2">
                  <c:v>Qua phương tiện thông tin đại chúng</c:v>
                </c:pt>
                <c:pt idx="3">
                  <c:v>Qua mạng Internet</c:v>
                </c:pt>
                <c:pt idx="4">
                  <c:v>Qua hình thức khác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34.5</c:v>
                </c:pt>
                <c:pt idx="1">
                  <c:v>12.25</c:v>
                </c:pt>
                <c:pt idx="2">
                  <c:v>25.25</c:v>
                </c:pt>
                <c:pt idx="3">
                  <c:v>24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DBC-4D0D-85F0-D92510D1E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9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Trực tiếp tại Bộ phận Một của: 72%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921-4068-9B6D-9A8A234D8A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Trang Thông tin điện tử Sở: 11,75%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921-4068-9B6D-9A8A234D8A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Cổng Thông tin quốc gia về đăng ký doanh nghiệp: 13,5%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921-4068-9B6D-9A8A234D8A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Hình thức khác: 2,75%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921-4068-9B6D-9A8A234D8A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Trực tiếp tại Bộ phận Một cửa</c:v>
                </c:pt>
                <c:pt idx="1">
                  <c:v>Trang Thông tin điện tử Sở</c:v>
                </c:pt>
                <c:pt idx="2">
                  <c:v>Công Thông tin quốc gia về đăng ký doanh nghiệp</c:v>
                </c:pt>
                <c:pt idx="3">
                  <c:v>Hình thức khác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11.75</c:v>
                </c:pt>
                <c:pt idx="2">
                  <c:v>13.5</c:v>
                </c:pt>
                <c:pt idx="3">
                  <c:v>2.75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21-4068-9B6D-9A8A234D8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01 lần: 37,75%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B7-4498-9D86-A649821A69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02 lần: 54,5%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B7-4498-9D86-A649821A69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03 lần: 6,75%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B7-4498-9D86-A649821A69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04 lần: 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4B7-4498-9D86-A649821A69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01 lần</c:v>
                </c:pt>
                <c:pt idx="1">
                  <c:v>02 lần</c:v>
                </c:pt>
                <c:pt idx="2">
                  <c:v>03 lần</c:v>
                </c:pt>
                <c:pt idx="3">
                  <c:v>04 lần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37.75</c:v>
                </c:pt>
                <c:pt idx="1">
                  <c:v>54.5</c:v>
                </c:pt>
                <c:pt idx="2">
                  <c:v>6.75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B7-4498-9D86-A649821A6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Có: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7BA-4FCF-9AEE-3FA494CAC1D6}"/>
                </c:ext>
              </c:extLst>
            </c:dLbl>
            <c:dLbl>
              <c:idx val="1"/>
              <c:layout>
                <c:manualLayout>
                  <c:x val="5.2939354592778784E-3"/>
                  <c:y val="-0.4289310867803793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Không: 100%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7BA-4FCF-9AEE-3FA494CAC1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Có</c:v>
                </c:pt>
                <c:pt idx="1">
                  <c:v>Không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BA-4FCF-9AEE-3FA494CAC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08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hài lòng: 79,25%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E35-4202-8B88-036E2AD41D7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Hài lòng: 19,75%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E35-4202-8B88-036E2AD41D7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Bình thường: 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E35-4202-8B88-036E2AD41D7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E35-4202-8B88-036E2AD41D7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E35-4202-8B88-036E2AD41D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Rất hài lòng</c:v>
                </c:pt>
                <c:pt idx="1">
                  <c:v>Hài lòng</c:v>
                </c:pt>
                <c:pt idx="2">
                  <c:v>Bình thường</c:v>
                </c:pt>
                <c:pt idx="3">
                  <c:v>Không hài lòng</c:v>
                </c:pt>
                <c:pt idx="4">
                  <c:v>Rất không hài lòng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79.25</c:v>
                </c:pt>
                <c:pt idx="1">
                  <c:v>19.75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35-4202-8B88-036E2AD41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hài lòng: 86,5%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7E4-4AEF-BCAC-6E9CFFA0B2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Hài lòng: 13,25%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7E4-4AEF-BCAC-6E9CFFA0B2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Bình thường, 0,25%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7E4-4AEF-BCAC-6E9CFFA0B2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7E4-4AEF-BCAC-6E9CFFA0B21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7E4-4AEF-BCAC-6E9CFFA0B2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Rất hài lòng</c:v>
                </c:pt>
                <c:pt idx="1">
                  <c:v>Hài lòng</c:v>
                </c:pt>
                <c:pt idx="2">
                  <c:v>Bình thường</c:v>
                </c:pt>
                <c:pt idx="3">
                  <c:v>Không hài lòng</c:v>
                </c:pt>
                <c:pt idx="4">
                  <c:v>Rất không hài lòng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86.5</c:v>
                </c:pt>
                <c:pt idx="1">
                  <c:v>13.25</c:v>
                </c:pt>
                <c:pt idx="2" formatCode="#,000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E4-4AEF-BCAC-6E9CFFA0B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hài lòng: 86,75%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9DD-4640-AAC4-967A435C6B5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Hài lòng. 13%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9DD-4640-AAC4-967A435C6B5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vi-VN"/>
                      <a:t>Bình thường: 0,25%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9DD-4640-AAC4-967A435C6B5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9DD-4640-AAC4-967A435C6B5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Rất không hài lòng: 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9DD-4640-AAC4-967A435C6B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Rất hài lòng</c:v>
                </c:pt>
                <c:pt idx="1">
                  <c:v>Hài lòng</c:v>
                </c:pt>
                <c:pt idx="2">
                  <c:v>Bình thường</c:v>
                </c:pt>
                <c:pt idx="3">
                  <c:v>Không hài lòng</c:v>
                </c:pt>
                <c:pt idx="4">
                  <c:v>Rất không hài lòng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86.75</c:v>
                </c:pt>
                <c:pt idx="1">
                  <c:v>13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DD-4640-AAC4-967A435C6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Biết Sở Kế hoạch và Đầu tư qua hình thức nào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BE7-43BA-97E4-EEE9075561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BE7-43BA-97E4-EEE9075561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BE7-43BA-97E4-EEE9075561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BE7-43BA-97E4-EEE9075561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BE7-43BA-97E4-EEE9075561B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BE7-43BA-97E4-EEE9075561B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BE7-43BA-97E4-EEE9075561B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BE7-43BA-97E4-EEE9075561B5}"/>
                </c:ext>
              </c:extLst>
            </c:dLbl>
            <c:dLbl>
              <c:idx val="8"/>
              <c:layout>
                <c:manualLayout>
                  <c:x val="0"/>
                  <c:y val="4.60405156537753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BE7-43BA-97E4-EEE9075561B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BE7-43BA-97E4-EEE9075561B5}"/>
                </c:ext>
              </c:extLst>
            </c:dLbl>
            <c:numFmt formatCode="###,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Thông tin để người dân biết dịch vụ công</c:v>
                </c:pt>
                <c:pt idx="1">
                  <c:v>Đơn giản hóa TTHC</c:v>
                </c:pt>
                <c:pt idx="2">
                  <c:v>Niêm yết TTHC công khai, minh bạch</c:v>
                </c:pt>
                <c:pt idx="3">
                  <c:v>Rút ngắn thời gian giải quyết TTHC</c:v>
                </c:pt>
                <c:pt idx="4">
                  <c:v>Giảm phí/lệ phí</c:v>
                </c:pt>
                <c:pt idx="5">
                  <c:v>Cải thiện thái độ giao tiếp</c:v>
                </c:pt>
                <c:pt idx="6">
                  <c:v>Cải thiện tinh thần phục vụ</c:v>
                </c:pt>
                <c:pt idx="7">
                  <c:v>Nâng cao năng lực giải quyết</c:v>
                </c:pt>
                <c:pt idx="8">
                  <c:v>Giaỉ quyết phản ánh, kiến nghị</c:v>
                </c:pt>
                <c:pt idx="9">
                  <c:v>Thành lập tổ chức tư vấn, hướng dẫn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71.8</c:v>
                </c:pt>
                <c:pt idx="1">
                  <c:v>77.3</c:v>
                </c:pt>
                <c:pt idx="2">
                  <c:v>45</c:v>
                </c:pt>
                <c:pt idx="3">
                  <c:v>52</c:v>
                </c:pt>
                <c:pt idx="4">
                  <c:v>6.8</c:v>
                </c:pt>
                <c:pt idx="5">
                  <c:v>1.3</c:v>
                </c:pt>
                <c:pt idx="6">
                  <c:v>0.8</c:v>
                </c:pt>
                <c:pt idx="7">
                  <c:v>4.3</c:v>
                </c:pt>
                <c:pt idx="8">
                  <c:v>12.5</c:v>
                </c:pt>
                <c:pt idx="9" formatCode="0%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BE7-43BA-97E4-EEE907556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9306880"/>
        <c:axId val="139308416"/>
      </c:barChart>
      <c:catAx>
        <c:axId val="13930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308416"/>
        <c:crosses val="autoZero"/>
        <c:auto val="1"/>
        <c:lblAlgn val="ctr"/>
        <c:lblOffset val="100"/>
        <c:noMultiLvlLbl val="0"/>
      </c:catAx>
      <c:valAx>
        <c:axId val="13930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930688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Huy</dc:creator>
  <cp:lastModifiedBy>Administrator</cp:lastModifiedBy>
  <cp:revision>2</cp:revision>
  <dcterms:created xsi:type="dcterms:W3CDTF">2021-09-28T03:52:00Z</dcterms:created>
  <dcterms:modified xsi:type="dcterms:W3CDTF">2021-09-28T03:52:00Z</dcterms:modified>
</cp:coreProperties>
</file>